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rFonts w:ascii="Arial" w:cs="Arial" w:eastAsia="Arial" w:hAnsi="Arial"/>
          <w:b w:val="0"/>
          <w:vertAlign w:val="baseline"/>
        </w:rPr>
      </w:pPr>
      <w:r w:rsidDel="00000000" w:rsidR="00000000" w:rsidRPr="00000000">
        <w:rPr>
          <w:rFonts w:ascii="Arial" w:cs="Arial" w:eastAsia="Arial" w:hAnsi="Arial"/>
          <w:vertAlign w:val="baseline"/>
        </w:rPr>
        <w:drawing>
          <wp:inline distB="0" distT="0" distL="114300" distR="114300">
            <wp:extent cx="1890395" cy="647065"/>
            <wp:effectExtent b="0" l="0" r="0" t="0"/>
            <wp:docPr id="102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90395" cy="6470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0</wp:posOffset>
                </wp:positionV>
                <wp:extent cx="5082540" cy="643890"/>
                <wp:effectExtent b="0" l="0" r="0" t="0"/>
                <wp:wrapNone/>
                <wp:docPr id="1026" name=""/>
                <a:graphic>
                  <a:graphicData uri="http://schemas.microsoft.com/office/word/2010/wordprocessingShape">
                    <wps:wsp>
                      <wps:cNvSpPr/>
                      <wps:cNvPr id="2" name="Shape 2"/>
                      <wps:spPr>
                        <a:xfrm>
                          <a:off x="2809493" y="3462818"/>
                          <a:ext cx="5073015" cy="6343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Consumer Confidence Report for Calendar Year </w:t>
                            </w:r>
                            <w:r w:rsidDel="00000000" w:rsidR="00000000" w:rsidRPr="00000000">
                              <w:rPr>
                                <w:rFonts w:ascii="Arial" w:cs="Arial" w:eastAsia="Arial" w:hAnsi="Arial"/>
                                <w:b w:val="0"/>
                                <w:i w:val="0"/>
                                <w:smallCaps w:val="0"/>
                                <w:strike w:val="0"/>
                                <w:color w:val="000000"/>
                                <w:sz w:val="28"/>
                                <w:highlight w:val="yellow"/>
                                <w:u w:val="single"/>
                                <w:vertAlign w:val="baseline"/>
                              </w:rPr>
                              <w:t xml:space="preserve">2021</w:t>
                            </w:r>
                          </w:p>
                          <w:p w:rsidR="00000000" w:rsidDel="00000000" w:rsidP="00000000" w:rsidRDefault="00000000" w:rsidRPr="00000000">
                            <w:pPr>
                              <w:spacing w:after="0" w:before="60" w:line="240"/>
                              <w:ind w:left="0" w:right="0" w:firstLine="0"/>
                              <w:jc w:val="center"/>
                              <w:textDirection w:val="btLr"/>
                            </w:pPr>
                            <w:r w:rsidDel="00000000" w:rsidR="00000000" w:rsidRPr="00000000">
                              <w:rPr>
                                <w:rFonts w:ascii="Arial" w:cs="Arial" w:eastAsia="Arial" w:hAnsi="Arial"/>
                                <w:b w:val="0"/>
                                <w:i w:val="0"/>
                                <w:smallCaps w:val="0"/>
                                <w:strike w:val="0"/>
                                <w:color w:val="000000"/>
                                <w:sz w:val="28"/>
                                <w:highlight w:val="yellow"/>
                                <w:u w:val="single"/>
                                <w:vertAlign w:val="baseline"/>
                              </w:rPr>
                            </w:r>
                            <w:r w:rsidDel="00000000" w:rsidR="00000000" w:rsidRPr="00000000">
                              <w:rPr>
                                <w:rFonts w:ascii="Arial" w:cs="Arial" w:eastAsia="Arial" w:hAnsi="Arial"/>
                                <w:b w:val="0"/>
                                <w:i w:val="0"/>
                                <w:smallCaps w:val="0"/>
                                <w:strike w:val="0"/>
                                <w:color w:val="000000"/>
                                <w:sz w:val="16"/>
                                <w:vertAlign w:val="baseline"/>
                              </w:rPr>
                              <w:t xml:space="preserve">Este informe contiene informactión muy importante sobre el aqua usted bebe.  </w:t>
                            </w:r>
                            <w:r w:rsidDel="00000000" w:rsidR="00000000" w:rsidRPr="00000000">
                              <w:rPr>
                                <w:rFonts w:ascii="Arial" w:cs="Arial" w:eastAsia="Arial" w:hAnsi="Arial"/>
                                <w:b w:val="0"/>
                                <w:i w:val="0"/>
                                <w:smallCaps w:val="0"/>
                                <w:strike w:val="0"/>
                                <w:color w:val="000000"/>
                                <w:sz w:val="16"/>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Tradúscalo ó hable con alguien que lo entienda bien.</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0</wp:posOffset>
                </wp:positionV>
                <wp:extent cx="5082540" cy="643890"/>
                <wp:effectExtent b="0" l="0" r="0" t="0"/>
                <wp:wrapNone/>
                <wp:docPr id="102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082540" cy="643890"/>
                        </a:xfrm>
                        <a:prstGeom prst="rect"/>
                        <a:ln/>
                      </pic:spPr>
                    </pic:pic>
                  </a:graphicData>
                </a:graphic>
              </wp:anchor>
            </w:drawing>
          </mc:Fallback>
        </mc:AlternateContent>
      </w:r>
    </w:p>
    <w:p w:rsidR="00000000" w:rsidDel="00000000" w:rsidP="00000000" w:rsidRDefault="00000000" w:rsidRPr="00000000" w14:paraId="00000002">
      <w:pPr>
        <w:spacing w:before="240" w:lineRule="auto"/>
        <w:rPr>
          <w:rFonts w:ascii="Arial" w:cs="Arial" w:eastAsia="Arial" w:hAnsi="Arial"/>
          <w:i w:val="0"/>
          <w:color w:val="0000ff"/>
          <w:sz w:val="18"/>
          <w:szCs w:val="18"/>
          <w:vertAlign w:val="baseline"/>
        </w:rPr>
      </w:pPr>
      <w:r w:rsidDel="00000000" w:rsidR="00000000" w:rsidRPr="00000000">
        <w:rPr>
          <w:rtl w:val="0"/>
        </w:rPr>
      </w:r>
    </w:p>
    <w:tbl>
      <w:tblPr>
        <w:tblStyle w:val="Table1"/>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8"/>
        <w:gridCol w:w="1350"/>
        <w:gridCol w:w="2340"/>
        <w:gridCol w:w="3600"/>
        <w:tblGridChange w:id="0">
          <w:tblGrid>
            <w:gridCol w:w="3798"/>
            <w:gridCol w:w="1350"/>
            <w:gridCol w:w="2340"/>
            <w:gridCol w:w="3600"/>
          </w:tblGrid>
        </w:tblGridChange>
      </w:tblGrid>
      <w:tr>
        <w:trPr>
          <w:cantSplit w:val="0"/>
          <w:trHeight w:val="233"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03">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vertAlign w:val="baseline"/>
                <w:rtl w:val="0"/>
              </w:rPr>
              <w:t xml:space="preserve">Public Water System ID Number</w:t>
            </w:r>
            <w:r w:rsidDel="00000000" w:rsidR="00000000" w:rsidRPr="00000000">
              <w:rPr>
                <w:rtl w:val="0"/>
              </w:rPr>
            </w:r>
          </w:p>
        </w:tc>
        <w:tc>
          <w:tcPr>
            <w:gridSpan w:val="3"/>
            <w:tcBorders>
              <w:top w:color="000000" w:space="0" w:sz="4" w:val="single"/>
              <w:bottom w:color="000000" w:space="0" w:sz="4" w:val="single"/>
            </w:tcBorders>
            <w:shd w:fill="f3f3f3" w:val="clear"/>
            <w:vAlign w:val="center"/>
          </w:tcPr>
          <w:p w:rsidR="00000000" w:rsidDel="00000000" w:rsidP="00000000" w:rsidRDefault="00000000" w:rsidRPr="00000000" w14:paraId="0000000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Public Water System Name</w:t>
            </w:r>
            <w:r w:rsidDel="00000000" w:rsidR="00000000" w:rsidRPr="00000000">
              <w:rPr>
                <w:rtl w:val="0"/>
              </w:rPr>
            </w:r>
          </w:p>
        </w:tc>
      </w:tr>
      <w:tr>
        <w:trPr>
          <w:cantSplit w:val="0"/>
          <w:trHeight w:val="38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AZ04-20-197</w:t>
            </w:r>
          </w:p>
        </w:tc>
        <w:tc>
          <w:tcPr>
            <w:gridSpan w:val="3"/>
            <w:tcBorders>
              <w:top w:color="000000" w:space="0" w:sz="4" w:val="single"/>
              <w:bottom w:color="000000" w:space="0" w:sz="4" w:val="single"/>
            </w:tcBorders>
            <w:vAlign w:val="center"/>
          </w:tcPr>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Cactus Country RV Resort</w:t>
            </w:r>
          </w:p>
        </w:tc>
      </w:tr>
      <w:tr>
        <w:trPr>
          <w:cantSplit w:val="0"/>
          <w:trHeight w:val="287" w:hRule="atLeast"/>
          <w:tblHeader w:val="0"/>
        </w:trPr>
        <w:tc>
          <w:tcPr>
            <w:gridSpan w:val="2"/>
            <w:tcBorders>
              <w:top w:color="000000" w:space="0" w:sz="4" w:val="single"/>
              <w:bottom w:color="000000" w:space="0" w:sz="4" w:val="single"/>
            </w:tcBorders>
            <w:shd w:fill="f3f3f3" w:val="clear"/>
            <w:vAlign w:val="center"/>
          </w:tcPr>
          <w:p w:rsidR="00000000" w:rsidDel="00000000" w:rsidP="00000000" w:rsidRDefault="00000000" w:rsidRPr="00000000" w14:paraId="0000000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Contact Name and Title</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0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Phone Number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0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E-mail Address</w:t>
            </w:r>
            <w:r w:rsidDel="00000000" w:rsidR="00000000" w:rsidRPr="00000000">
              <w:rPr>
                <w:rtl w:val="0"/>
              </w:rPr>
            </w:r>
          </w:p>
        </w:tc>
      </w:tr>
      <w:tr>
        <w:trPr>
          <w:cantSplit w:val="0"/>
          <w:trHeight w:val="375" w:hRule="atLeast"/>
          <w:tblHeader w:val="0"/>
        </w:trPr>
        <w:tc>
          <w:tcPr>
            <w:gridSpan w:val="2"/>
            <w:tcBorders>
              <w:top w:color="000000" w:space="0" w:sz="4" w:val="single"/>
            </w:tcBorders>
            <w:vAlign w:val="center"/>
          </w:tcPr>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Allyn Mancuso</w:t>
            </w:r>
          </w:p>
        </w:tc>
        <w:tc>
          <w:tcPr>
            <w:tcBorders>
              <w:top w:color="000000" w:space="0" w:sz="4" w:val="single"/>
            </w:tcBorders>
            <w:vAlign w:val="center"/>
          </w:tcPr>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520-574-3000</w:t>
            </w:r>
          </w:p>
        </w:tc>
        <w:tc>
          <w:tcPr>
            <w:tcBorders>
              <w:top w:color="000000" w:space="0" w:sz="4" w:val="single"/>
            </w:tcBorders>
            <w:vAlign w:val="center"/>
          </w:tcPr>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info@cactuscountryrvpark.com</w:t>
            </w:r>
          </w:p>
        </w:tc>
      </w:tr>
      <w:tr>
        <w:trPr>
          <w:cantSplit w:val="0"/>
          <w:trHeight w:val="827" w:hRule="atLeast"/>
          <w:tblHeader w:val="0"/>
        </w:trPr>
        <w:tc>
          <w:tcPr>
            <w:gridSpan w:val="4"/>
            <w:vAlign w:val="center"/>
          </w:tcPr>
          <w:p w:rsidR="00000000" w:rsidDel="00000000" w:rsidP="00000000" w:rsidRDefault="00000000" w:rsidRPr="00000000" w14:paraId="0000001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want our valued customers to be informed about their water quality. If you would like to learn more, please</w:t>
            </w:r>
          </w:p>
          <w:p w:rsidR="00000000" w:rsidDel="00000000" w:rsidP="00000000" w:rsidRDefault="00000000" w:rsidRPr="00000000" w14:paraId="00000014">
            <w:pPr>
              <w:rPr>
                <w:rFonts w:ascii="Arial" w:cs="Arial" w:eastAsia="Arial" w:hAnsi="Arial"/>
                <w:color w:val="ff0000"/>
                <w:sz w:val="22"/>
                <w:szCs w:val="22"/>
                <w:vertAlign w:val="baseline"/>
              </w:rPr>
            </w:pPr>
            <w:r w:rsidDel="00000000" w:rsidR="00000000" w:rsidRPr="00000000">
              <w:rPr>
                <w:rFonts w:ascii="Arial" w:cs="Arial" w:eastAsia="Arial" w:hAnsi="Arial"/>
                <w:sz w:val="22"/>
                <w:szCs w:val="22"/>
                <w:vertAlign w:val="baseline"/>
                <w:rtl w:val="0"/>
              </w:rPr>
              <w:t xml:space="preserve">contact Lucas McCain at 520-261-4516</w:t>
            </w:r>
            <w:r w:rsidDel="00000000" w:rsidR="00000000" w:rsidRPr="00000000">
              <w:rPr>
                <w:rtl w:val="0"/>
              </w:rPr>
            </w:r>
          </w:p>
        </w:tc>
      </w:tr>
    </w:tbl>
    <w:p w:rsidR="00000000" w:rsidDel="00000000" w:rsidP="00000000" w:rsidRDefault="00000000" w:rsidRPr="00000000" w14:paraId="00000018">
      <w:pPr>
        <w:spacing w:before="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Drinking Water Sources</w:t>
      </w:r>
      <w:r w:rsidDel="00000000" w:rsidR="00000000" w:rsidRPr="00000000">
        <w:rPr>
          <w:rtl w:val="0"/>
        </w:rPr>
      </w:r>
    </w:p>
    <w:tbl>
      <w:tblPr>
        <w:tblStyle w:val="Table2"/>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8640"/>
        <w:tblGridChange w:id="0">
          <w:tblGrid>
            <w:gridCol w:w="2448"/>
            <w:gridCol w:w="8640"/>
          </w:tblGrid>
        </w:tblGridChange>
      </w:tblGrid>
      <w:tr>
        <w:trPr>
          <w:cantSplit w:val="0"/>
          <w:trHeight w:val="2843" w:hRule="atLeast"/>
          <w:tblHeader w:val="0"/>
        </w:trPr>
        <w:tc>
          <w:tcPr>
            <w:gridSpan w:val="2"/>
            <w:tcBorders>
              <w:bottom w:color="000000" w:space="0" w:sz="4" w:val="single"/>
            </w:tcBorders>
            <w:vAlign w:val="center"/>
          </w:tcPr>
          <w:p w:rsidR="00000000" w:rsidDel="00000000" w:rsidP="00000000" w:rsidRDefault="00000000" w:rsidRPr="00000000" w14:paraId="00000019">
            <w:pPr>
              <w:rPr>
                <w:rFonts w:ascii="Arial" w:cs="Arial" w:eastAsia="Arial" w:hAnsi="Arial"/>
                <w:color w:val="0000ff"/>
                <w:sz w:val="20"/>
                <w:szCs w:val="20"/>
                <w:vertAlign w:val="baseline"/>
              </w:rPr>
            </w:pPr>
            <w:r w:rsidDel="00000000" w:rsidR="00000000" w:rsidRPr="00000000">
              <w:rPr>
                <w:rtl w:val="0"/>
              </w:rPr>
            </w:r>
          </w:p>
          <w:p w:rsidR="00000000" w:rsidDel="00000000" w:rsidP="00000000" w:rsidRDefault="00000000" w:rsidRPr="00000000" w14:paraId="0000001A">
            <w:pPr>
              <w:spacing w:after="240" w:lineRule="auto"/>
              <w:rPr>
                <w:rFonts w:ascii="Arial" w:cs="Arial" w:eastAsia="Arial" w:hAnsi="Arial"/>
                <w:color w:val="0000ff"/>
                <w:sz w:val="20"/>
                <w:szCs w:val="20"/>
                <w:vertAlign w:val="baseline"/>
              </w:rPr>
            </w:pPr>
            <w:r w:rsidDel="00000000" w:rsidR="00000000" w:rsidRPr="00000000">
              <w:rPr>
                <w:rFonts w:ascii="Arial" w:cs="Arial" w:eastAsia="Arial" w:hAnsi="Arial"/>
                <w:sz w:val="20"/>
                <w:szCs w:val="20"/>
                <w:vertAlign w:val="baseline"/>
                <w:rtl w:val="0"/>
              </w:rPr>
              <w:t xml:space="preserve">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w:t>
            </w:r>
            <w:r w:rsidDel="00000000" w:rsidR="00000000" w:rsidRPr="00000000">
              <w:rPr>
                <w:rtl w:val="0"/>
              </w:rPr>
            </w:r>
          </w:p>
          <w:p w:rsidR="00000000" w:rsidDel="00000000" w:rsidP="00000000" w:rsidRDefault="00000000" w:rsidRPr="00000000" w14:paraId="0000001B">
            <w:pPr>
              <w:spacing w:after="60" w:lineRule="auto"/>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In order to ensure that tap water is safe to drink, EPA prescribes regulations which limit the amount of certain contaminants in water provided by public water systems. Food and Drug Administration (FDA) regulations establish limits for contaminants in bottled water which must provide the same protection for public health.</w:t>
            </w:r>
            <w:r w:rsidDel="00000000" w:rsidR="00000000" w:rsidRPr="00000000">
              <w:rPr>
                <w:rtl w:val="0"/>
              </w:rPr>
            </w:r>
          </w:p>
        </w:tc>
      </w:tr>
      <w:tr>
        <w:trPr>
          <w:cantSplit w:val="0"/>
          <w:trHeight w:val="37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1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Our water source(s):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E">
            <w:pPr>
              <w:rPr>
                <w:rFonts w:ascii="Arial" w:cs="Arial" w:eastAsia="Arial" w:hAnsi="Arial"/>
                <w:color w:val="0000ff"/>
                <w:sz w:val="22"/>
                <w:szCs w:val="22"/>
                <w:vertAlign w:val="baseline"/>
              </w:rPr>
            </w:pPr>
            <w:r w:rsidDel="00000000" w:rsidR="00000000" w:rsidRPr="00000000">
              <w:rPr>
                <w:vertAlign w:val="baseline"/>
                <w:rtl w:val="0"/>
              </w:rPr>
              <w:t xml:space="preserve">Ground Water, Well number 55-55-914686</w:t>
            </w:r>
            <w:r w:rsidDel="00000000" w:rsidR="00000000" w:rsidRPr="00000000">
              <w:rPr>
                <w:rtl w:val="0"/>
              </w:rPr>
            </w:r>
          </w:p>
        </w:tc>
      </w:tr>
    </w:tbl>
    <w:p w:rsidR="00000000" w:rsidDel="00000000" w:rsidP="00000000" w:rsidRDefault="00000000" w:rsidRPr="00000000" w14:paraId="0000001F">
      <w:pPr>
        <w:spacing w:before="60" w:lineRule="auto"/>
        <w:rPr>
          <w:rFonts w:ascii="Arial" w:cs="Arial" w:eastAsia="Arial" w:hAnsi="Arial"/>
          <w:b w:val="0"/>
          <w:sz w:val="2"/>
          <w:szCs w:val="2"/>
          <w:vertAlign w:val="baseline"/>
        </w:rPr>
      </w:pPr>
      <w:r w:rsidDel="00000000" w:rsidR="00000000" w:rsidRPr="00000000">
        <w:rPr>
          <w:rtl w:val="0"/>
        </w:rPr>
      </w:r>
    </w:p>
    <w:p w:rsidR="00000000" w:rsidDel="00000000" w:rsidP="00000000" w:rsidRDefault="00000000" w:rsidRPr="00000000" w14:paraId="00000020">
      <w:pPr>
        <w:spacing w:before="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spacing w:before="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Drinking Water Contaminants</w:t>
      </w:r>
      <w:r w:rsidDel="00000000" w:rsidR="00000000" w:rsidRPr="00000000">
        <w:rPr>
          <w:rtl w:val="0"/>
        </w:rPr>
      </w:r>
    </w:p>
    <w:tbl>
      <w:tblPr>
        <w:tblStyle w:val="Table3"/>
        <w:tblW w:w="1108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418"/>
        <w:gridCol w:w="5670"/>
        <w:tblGridChange w:id="0">
          <w:tblGrid>
            <w:gridCol w:w="5418"/>
            <w:gridCol w:w="5670"/>
          </w:tblGrid>
        </w:tblGridChange>
      </w:tblGrid>
      <w:tr>
        <w:trPr>
          <w:cantSplit w:val="0"/>
          <w:trHeight w:val="2787" w:hRule="atLeast"/>
          <w:tblHeader w:val="0"/>
        </w:trPr>
        <w:tc>
          <w:tcP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Microbial Contaminants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viruses and bacteria that may come from sewage treatment plants, septic systems, agricultural livestock operations, and wildlife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Inorganic Contaminants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salts and metals that can be naturally-occurring or result from urban stormwater runoff, industrial or domestic wastewater discharges, oil and gas production, mining, or farming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Pesticides and Herbicides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agriculture, urban storm water runoff, and residential uses that may come from a variety of sources</w:t>
            </w:r>
          </w:p>
        </w:tc>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Organic Chemical Contaminants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Such as synthetic and volatile organic chemicals, which are by-products of industrial processes and petroleum production, and also may come from gas stations, urban storm water runoff, and septic systems.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Radioactive Contaminants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can be naturally occurring or be the result of oil and gas production and mining activities.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Vulnerable Population</w:t>
      </w:r>
      <w:r w:rsidDel="00000000" w:rsidR="00000000" w:rsidRPr="00000000">
        <w:rPr>
          <w:rtl w:val="0"/>
        </w:rPr>
      </w:r>
    </w:p>
    <w:tbl>
      <w:tblPr>
        <w:tblStyle w:val="Table4"/>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2238" w:hRule="atLeast"/>
          <w:tblHeader w:val="0"/>
        </w:trPr>
        <w:tc>
          <w:tcP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Drinking water, including bottled water, may reasonably be expected to contain at least small amounts of some contaminants. The presence of contaminants does not necessarily indicate that water poses a health risk.  Some people may be more vulnerable to contaminants in drinking water than the general population.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more information about contaminants and potential health effects, or to receive a copy of the U.S. Environmental Protection Agency (EPA) and the U.S. Centers for Disease Control (CDC) guidelines on appropriate means to lessen the risk of infection by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Cryptosporidium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microbiological contaminants call the EPA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Safe Drinking Water Hotline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1-800-426-4791.</w:t>
            </w:r>
            <w:r w:rsidDel="00000000" w:rsidR="00000000" w:rsidRPr="00000000">
              <w:rPr>
                <w:rtl w:val="0"/>
              </w:rPr>
            </w:r>
          </w:p>
        </w:tc>
      </w:tr>
    </w:tbl>
    <w:p w:rsidR="00000000" w:rsidDel="00000000" w:rsidP="00000000" w:rsidRDefault="00000000" w:rsidRPr="00000000" w14:paraId="00000031">
      <w:pPr>
        <w:spacing w:before="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Source Water Assessment</w:t>
      </w:r>
      <w:r w:rsidDel="00000000" w:rsidR="00000000" w:rsidRPr="00000000">
        <w:rPr>
          <w:rtl w:val="0"/>
        </w:rPr>
      </w:r>
    </w:p>
    <w:tbl>
      <w:tblPr>
        <w:tblStyle w:val="Table5"/>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888" w:hRule="atLeast"/>
          <w:tblHeader w:val="0"/>
        </w:trPr>
        <w:tc>
          <w:tcPr>
            <w:vAlign w:val="center"/>
          </w:tcPr>
          <w:p w:rsidR="00000000" w:rsidDel="00000000" w:rsidP="00000000" w:rsidRDefault="00000000" w:rsidRPr="00000000" w14:paraId="00000032">
            <w:pPr>
              <w:ind w:left="360"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Based on the information currently available on the hydrogeologic settings of and the adjacent land uses that are in the specified proximity of the drinking water source(s) of this public water system, the department has given a low risk designation for the degree to which this public water system drinking water source(s) are protected. A low risk designation indicates that most source water protection measures are either already implemented, or the hydrogeology is such that the source water protection measures will have little impact on protection.</w:t>
            </w:r>
          </w:p>
          <w:p w:rsidR="00000000" w:rsidDel="00000000" w:rsidP="00000000" w:rsidRDefault="00000000" w:rsidRPr="00000000" w14:paraId="00000033">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Further source water assessment documentation can be obtained by contacting ADEQ.</w:t>
            </w:r>
          </w:p>
        </w:tc>
      </w:tr>
      <w:tr>
        <w:trPr>
          <w:cantSplit w:val="0"/>
          <w:trHeight w:val="888" w:hRule="atLeast"/>
          <w:tblHeader w:val="0"/>
        </w:trPr>
        <w:tc>
          <w:tcPr>
            <w:vAlign w:val="center"/>
          </w:tcPr>
          <w:p w:rsidR="00000000" w:rsidDel="00000000" w:rsidP="00000000" w:rsidRDefault="00000000" w:rsidRPr="00000000" w14:paraId="00000035">
            <w:pPr>
              <w:ind w:left="360" w:firstLine="0"/>
              <w:rPr>
                <w:rFonts w:ascii="Arial" w:cs="Arial" w:eastAsia="Arial" w:hAnsi="Arial"/>
                <w:color w:val="000000"/>
                <w:sz w:val="20"/>
                <w:szCs w:val="20"/>
                <w:vertAlign w:val="baseline"/>
              </w:rPr>
            </w:pPr>
            <w:r w:rsidDel="00000000" w:rsidR="00000000" w:rsidRPr="00000000">
              <w:rPr>
                <w:rtl w:val="0"/>
              </w:rPr>
            </w:r>
          </w:p>
        </w:tc>
      </w:tr>
    </w:tbl>
    <w:p w:rsidR="00000000" w:rsidDel="00000000" w:rsidP="00000000" w:rsidRDefault="00000000" w:rsidRPr="00000000" w14:paraId="00000036">
      <w:pPr>
        <w:spacing w:before="120" w:lineRule="auto"/>
        <w:rPr>
          <w:rFonts w:ascii="Arial" w:cs="Arial" w:eastAsia="Arial" w:hAnsi="Arial"/>
          <w:b w:val="0"/>
          <w:color w:val="0000ff"/>
          <w:sz w:val="20"/>
          <w:szCs w:val="20"/>
          <w:vertAlign w:val="baseline"/>
        </w:rPr>
      </w:pPr>
      <w:r w:rsidDel="00000000" w:rsidR="00000000" w:rsidRPr="00000000">
        <w:rPr>
          <w:rFonts w:ascii="Arial" w:cs="Arial" w:eastAsia="Arial" w:hAnsi="Arial"/>
          <w:b w:val="1"/>
          <w:sz w:val="20"/>
          <w:szCs w:val="20"/>
          <w:vertAlign w:val="baseline"/>
          <w:rtl w:val="0"/>
        </w:rPr>
        <w:t xml:space="preserve">Definitions </w:t>
      </w:r>
      <w:r w:rsidDel="00000000" w:rsidR="00000000" w:rsidRPr="00000000">
        <w:rPr>
          <w:rtl w:val="0"/>
        </w:rPr>
      </w:r>
    </w:p>
    <w:tbl>
      <w:tblPr>
        <w:tblStyle w:val="Table6"/>
        <w:tblW w:w="1108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778"/>
        <w:gridCol w:w="5310"/>
        <w:tblGridChange w:id="0">
          <w:tblGrid>
            <w:gridCol w:w="5778"/>
            <w:gridCol w:w="5310"/>
          </w:tblGrid>
        </w:tblGridChange>
      </w:tblGrid>
      <w:tr>
        <w:trPr>
          <w:cantSplit w:val="0"/>
          <w:trHeight w:val="50" w:hRule="atLeast"/>
          <w:tblHeader w:val="0"/>
        </w:trPr>
        <w:tc>
          <w:tcP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Treatment Technique (TT)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required process intended to reduce the level of a contaminant in drinking water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Level 1 Assessment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study of the water system to identify potential problems and determine (if possible) why total coliform bacteria was present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Level 2 Assessment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very detailed study of the water system to identify potential problems and determine (if possible) why an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 coli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MCL violation has occurred and/or why total coliform bacteria was present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Action Level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concentration of a contaminant which, if exceeded, triggers treatment, or other requirements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Maximum Contaminant Level (MCL)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highest level of a contaminant that is allowed in drinking water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Maximum Contaminant Level Goal MCLG)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level of a contaminant in drinking water below which there is no known or expected risk to health</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Maximum Residual Disinfectant Level (MRDL)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level of disinfectant added for water treatment that may not be exceeded 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consumer’s tap</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Maximum Residual Disinfectant Level Goal (MRDLG)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level of disinfectant added for treatment at which no known or anticipated adverse effect on health of persons would occur</w:t>
            </w:r>
          </w:p>
        </w:tc>
        <w:tc>
          <w:tcP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Minimum Reporting Limit (MRL)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smallest measured concentration of a substance that can be reliably measured by a given analytical method</w:t>
              <w:br w:type="textWrapp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Millirems per year (MREM)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measure of radiation absorbed by the body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 Applicable (NA)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Sampling was not completed by regulation or was not required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 Detected (ND or &lt;):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 detectable at reporting limit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Nephelometric Turbidity Units (NTU)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measure of water clarity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Million fibers per liter (MFL)</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Picocuries per liter (pCi/L)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Measure of the radioactivity in water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ppm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Parts per million or Milligrams per liter (mg/L)</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ppb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Parts per billion or Micrograms per liter (µg/L)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ppt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Parts per trillion or Nanograms per liter (ng/L)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ppq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Parts per quadrillion or Picograms per liter (pg/L)</w:t>
            </w:r>
          </w:p>
          <w:tbl>
            <w:tblPr>
              <w:tblStyle w:val="Table7"/>
              <w:tblW w:w="2032.0" w:type="dxa"/>
              <w:jc w:val="left"/>
              <w:tblLayout w:type="fixed"/>
              <w:tblLook w:val="0000"/>
            </w:tblPr>
            <w:tblGrid>
              <w:gridCol w:w="2032"/>
              <w:tblGridChange w:id="0">
                <w:tblGrid>
                  <w:gridCol w:w="2032"/>
                </w:tblGrid>
              </w:tblGridChange>
            </w:tblGrid>
            <w:tr>
              <w:trPr>
                <w:cantSplit w:val="0"/>
                <w:trHeight w:val="315" w:hRule="atLeast"/>
                <w:tblHeader w:val="0"/>
              </w:trPr>
              <w:tc>
                <w:tcPr>
                  <w:vAlign w:val="top"/>
                </w:tcPr>
                <w:p w:rsidR="00000000" w:rsidDel="00000000" w:rsidP="00000000" w:rsidRDefault="00000000" w:rsidRPr="00000000" w14:paraId="0000004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ppm x 1000 = ppb</w:t>
                  </w:r>
                </w:p>
              </w:tc>
            </w:tr>
            <w:tr>
              <w:trPr>
                <w:cantSplit w:val="0"/>
                <w:trHeight w:val="315" w:hRule="atLeast"/>
                <w:tblHeader w:val="0"/>
              </w:trPr>
              <w:tc>
                <w:tcPr>
                  <w:vAlign w:val="top"/>
                </w:tcPr>
                <w:p w:rsidR="00000000" w:rsidDel="00000000" w:rsidP="00000000" w:rsidRDefault="00000000" w:rsidRPr="00000000" w14:paraId="0000004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ppb  x 1000 = ppt</w:t>
                  </w:r>
                </w:p>
              </w:tc>
            </w:tr>
            <w:tr>
              <w:trPr>
                <w:cantSplit w:val="0"/>
                <w:trHeight w:val="315" w:hRule="atLeast"/>
                <w:tblHeader w:val="0"/>
              </w:trPr>
              <w:tc>
                <w:tcPr>
                  <w:vAlign w:val="top"/>
                </w:tcPr>
                <w:p w:rsidR="00000000" w:rsidDel="00000000" w:rsidP="00000000" w:rsidRDefault="00000000" w:rsidRPr="00000000" w14:paraId="0000004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ppt   x 1000 = ppq</w:t>
                  </w:r>
                </w:p>
              </w:tc>
            </w:tr>
          </w:tbl>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1">
      <w:pPr>
        <w:spacing w:before="120" w:lineRule="auto"/>
        <w:rPr>
          <w:rFonts w:ascii="Arial" w:cs="Arial" w:eastAsia="Arial" w:hAnsi="Arial"/>
          <w:i w:val="0"/>
          <w:color w:val="0000ff"/>
          <w:sz w:val="20"/>
          <w:szCs w:val="20"/>
          <w:vertAlign w:val="baseline"/>
        </w:rPr>
      </w:pPr>
      <w:r w:rsidDel="00000000" w:rsidR="00000000" w:rsidRPr="00000000">
        <w:rPr>
          <w:rFonts w:ascii="Arial" w:cs="Arial" w:eastAsia="Arial" w:hAnsi="Arial"/>
          <w:b w:val="1"/>
          <w:sz w:val="20"/>
          <w:szCs w:val="20"/>
          <w:vertAlign w:val="baseline"/>
          <w:rtl w:val="0"/>
        </w:rPr>
        <w:t xml:space="preserve">Lead Informational Statement: </w:t>
      </w:r>
      <w:r w:rsidDel="00000000" w:rsidR="00000000" w:rsidRPr="00000000">
        <w:rPr>
          <w:rtl w:val="0"/>
        </w:rPr>
      </w:r>
    </w:p>
    <w:tbl>
      <w:tblPr>
        <w:tblStyle w:val="Table8"/>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275"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Lead, in drinking water, is primarily from materials and components associated with service lines and home plumbing. If present, elevated levels of lead can cause serious health problems, especially for pregnant women and young children. Cactus Country RV Resort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Information on lead in drinking water, testing methods, and steps you can take to minimize exposure is available from the Safe Drinking Water Hotline or at </w:t>
            </w:r>
            <w:hyperlink r:id="rId9">
              <w:r w:rsidDel="00000000" w:rsidR="00000000" w:rsidRPr="00000000">
                <w:rPr>
                  <w:rFonts w:ascii="Arial" w:cs="Arial" w:eastAsia="Arial" w:hAnsi="Arial"/>
                  <w:sz w:val="20"/>
                  <w:szCs w:val="20"/>
                  <w:u w:val="single"/>
                  <w:vertAlign w:val="baseline"/>
                  <w:rtl w:val="0"/>
                </w:rPr>
                <w:t xml:space="preserve">www.epa.gov/safewater/lead</w:t>
              </w:r>
            </w:hyperlink>
            <w:r w:rsidDel="00000000" w:rsidR="00000000" w:rsidRPr="00000000">
              <w:rPr>
                <w:rFonts w:ascii="Arial" w:cs="Arial" w:eastAsia="Arial" w:hAnsi="Arial"/>
                <w:color w:val="1f497d"/>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Water Quality Data – Regulated Contaminants </w:t>
      </w:r>
      <w:r w:rsidDel="00000000" w:rsidR="00000000" w:rsidRPr="00000000">
        <w:rPr>
          <w:rtl w:val="0"/>
        </w:rPr>
      </w:r>
    </w:p>
    <w:tbl>
      <w:tblPr>
        <w:tblStyle w:val="Table9"/>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900"/>
        <w:gridCol w:w="1440"/>
        <w:gridCol w:w="1260"/>
        <w:gridCol w:w="720"/>
        <w:gridCol w:w="810"/>
        <w:gridCol w:w="810"/>
        <w:gridCol w:w="2070"/>
        <w:tblGridChange w:id="0">
          <w:tblGrid>
            <w:gridCol w:w="3078"/>
            <w:gridCol w:w="900"/>
            <w:gridCol w:w="1440"/>
            <w:gridCol w:w="1260"/>
            <w:gridCol w:w="720"/>
            <w:gridCol w:w="810"/>
            <w:gridCol w:w="810"/>
            <w:gridCol w:w="2070"/>
          </w:tblGrid>
        </w:tblGridChange>
      </w:tblGrid>
      <w:tr>
        <w:trPr>
          <w:cantSplit w:val="0"/>
          <w:trHeight w:val="305"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54">
            <w:pPr>
              <w:keepNext w:val="1"/>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55">
            <w:pPr>
              <w:keepNext w:val="1"/>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Microbiological (RTCR)</w:t>
            </w:r>
            <w:r w:rsidDel="00000000" w:rsidR="00000000" w:rsidRPr="00000000">
              <w:rPr>
                <w:rtl w:val="0"/>
              </w:rPr>
            </w:r>
          </w:p>
          <w:p w:rsidR="00000000" w:rsidDel="00000000" w:rsidP="00000000" w:rsidRDefault="00000000" w:rsidRPr="00000000" w14:paraId="00000056">
            <w:pPr>
              <w:keepNext w:val="1"/>
              <w:rPr>
                <w:rFonts w:ascii="Arial" w:cs="Arial" w:eastAsia="Arial" w:hAnsi="Arial"/>
                <w:b w:val="0"/>
                <w:sz w:val="16"/>
                <w:szCs w:val="16"/>
                <w:vertAlign w:val="baseline"/>
              </w:rPr>
            </w:pP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7">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TT</w:t>
            </w:r>
            <w:r w:rsidDel="00000000" w:rsidR="00000000" w:rsidRPr="00000000">
              <w:rPr>
                <w:rtl w:val="0"/>
              </w:rPr>
            </w:r>
          </w:p>
          <w:p w:rsidR="00000000" w:rsidDel="00000000" w:rsidP="00000000" w:rsidRDefault="00000000" w:rsidRPr="00000000" w14:paraId="00000058">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Violation</w:t>
            </w:r>
            <w:r w:rsidDel="00000000" w:rsidR="00000000" w:rsidRPr="00000000">
              <w:rPr>
                <w:rtl w:val="0"/>
              </w:rPr>
            </w:r>
          </w:p>
          <w:p w:rsidR="00000000" w:rsidDel="00000000" w:rsidP="00000000" w:rsidRDefault="00000000" w:rsidRPr="00000000" w14:paraId="00000059">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A">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Number of Positive Samples </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B">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Positive</w:t>
            </w:r>
            <w:r w:rsidDel="00000000" w:rsidR="00000000" w:rsidRPr="00000000">
              <w:rPr>
                <w:rtl w:val="0"/>
              </w:rPr>
            </w:r>
          </w:p>
          <w:p w:rsidR="00000000" w:rsidDel="00000000" w:rsidP="00000000" w:rsidRDefault="00000000" w:rsidRPr="00000000" w14:paraId="0000005C">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Sample(s)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D">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E">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MCLG</w:t>
            </w:r>
            <w:r w:rsidDel="00000000" w:rsidR="00000000" w:rsidRPr="00000000">
              <w:rPr>
                <w:rtl w:val="0"/>
              </w:rPr>
            </w:r>
          </w:p>
        </w:tc>
        <w:tc>
          <w:tcPr>
            <w:gridSpan w:val="2"/>
            <w:tcBorders>
              <w:top w:color="000000" w:space="0" w:sz="4" w:val="single"/>
              <w:bottom w:color="000000" w:space="0" w:sz="4" w:val="single"/>
            </w:tcBorders>
            <w:shd w:fill="f3f3f3" w:val="clear"/>
            <w:vAlign w:val="center"/>
          </w:tcPr>
          <w:p w:rsidR="00000000" w:rsidDel="00000000" w:rsidP="00000000" w:rsidRDefault="00000000" w:rsidRPr="00000000" w14:paraId="0000005F">
            <w:pPr>
              <w:keepNext w:val="1"/>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Likely Source of Contamination</w:t>
            </w:r>
            <w:r w:rsidDel="00000000" w:rsidR="00000000" w:rsidRPr="00000000">
              <w:rPr>
                <w:rtl w:val="0"/>
              </w:rPr>
            </w:r>
          </w:p>
        </w:tc>
      </w:tr>
      <w:tr>
        <w:trPr>
          <w:cantSplit w:val="0"/>
          <w:trHeight w:val="258" w:hRule="atLeast"/>
          <w:tblHeader w:val="0"/>
        </w:trPr>
        <w:tc>
          <w:tcPr>
            <w:vAlign w:val="center"/>
          </w:tcPr>
          <w:p w:rsidR="00000000" w:rsidDel="00000000" w:rsidP="00000000" w:rsidRDefault="00000000" w:rsidRPr="00000000" w14:paraId="00000061">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 Coli</w:t>
            </w:r>
            <w:r w:rsidDel="00000000" w:rsidR="00000000" w:rsidRPr="00000000">
              <w:rPr>
                <w:rtl w:val="0"/>
              </w:rPr>
            </w:r>
          </w:p>
        </w:tc>
        <w:tc>
          <w:tcPr>
            <w:vAlign w:val="center"/>
          </w:tcPr>
          <w:p w:rsidR="00000000" w:rsidDel="00000000" w:rsidP="00000000" w:rsidRDefault="00000000" w:rsidRPr="00000000" w14:paraId="0000006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w:t>
            </w:r>
          </w:p>
        </w:tc>
        <w:tc>
          <w:tcPr>
            <w:vAlign w:val="center"/>
          </w:tcPr>
          <w:p w:rsidR="00000000" w:rsidDel="00000000" w:rsidP="00000000" w:rsidRDefault="00000000" w:rsidRPr="00000000" w14:paraId="0000006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vAlign w:val="center"/>
          </w:tcPr>
          <w:p w:rsidR="00000000" w:rsidDel="00000000" w:rsidP="00000000" w:rsidRDefault="00000000" w:rsidRPr="00000000" w14:paraId="0000006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vAlign w:val="center"/>
          </w:tcPr>
          <w:p w:rsidR="00000000" w:rsidDel="00000000" w:rsidP="00000000" w:rsidRDefault="00000000" w:rsidRPr="00000000" w14:paraId="00000065">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vAlign w:val="center"/>
          </w:tcPr>
          <w:p w:rsidR="00000000" w:rsidDel="00000000" w:rsidP="00000000" w:rsidRDefault="00000000" w:rsidRPr="00000000" w14:paraId="0000006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gridSpan w:val="2"/>
            <w:vAlign w:val="center"/>
          </w:tcPr>
          <w:p w:rsidR="00000000" w:rsidDel="00000000" w:rsidP="00000000" w:rsidRDefault="00000000" w:rsidRPr="00000000" w14:paraId="00000067">
            <w:pP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Human and animal fecal waste</w:t>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069">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Fecal Indicator              </w:t>
            </w:r>
            <w:r w:rsidDel="00000000" w:rsidR="00000000" w:rsidRPr="00000000">
              <w:rPr>
                <w:rtl w:val="0"/>
              </w:rPr>
            </w:r>
          </w:p>
          <w:p w:rsidR="00000000" w:rsidDel="00000000" w:rsidP="00000000" w:rsidRDefault="00000000" w:rsidRPr="00000000" w14:paraId="0000006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(coliphage, enterococci and/or E. coli)</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w:t>
            </w:r>
          </w:p>
        </w:tc>
        <w:tc>
          <w:tcPr>
            <w:tcBorders>
              <w:bottom w:color="000000" w:space="0" w:sz="4" w:val="single"/>
            </w:tcBorders>
            <w:vAlign w:val="center"/>
          </w:tcPr>
          <w:p w:rsidR="00000000" w:rsidDel="00000000" w:rsidP="00000000" w:rsidRDefault="00000000" w:rsidRPr="00000000" w14:paraId="0000006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6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6E">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6F">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gridSpan w:val="2"/>
            <w:tcBorders>
              <w:bottom w:color="000000" w:space="0" w:sz="4" w:val="single"/>
            </w:tcBorders>
            <w:vAlign w:val="center"/>
          </w:tcPr>
          <w:p w:rsidR="00000000" w:rsidDel="00000000" w:rsidP="00000000" w:rsidRDefault="00000000" w:rsidRPr="00000000" w14:paraId="00000070">
            <w:pP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Human and animal fecal waste</w:t>
            </w:r>
          </w:p>
        </w:tc>
      </w:tr>
      <w:tr>
        <w:trPr>
          <w:cantSplit w:val="0"/>
          <w:trHeight w:val="402"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Lead &amp; Copper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3">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w:t>
            </w:r>
            <w:r w:rsidDel="00000000" w:rsidR="00000000" w:rsidRPr="00000000">
              <w:rPr>
                <w:rtl w:val="0"/>
              </w:rPr>
            </w:r>
          </w:p>
          <w:p w:rsidR="00000000" w:rsidDel="00000000" w:rsidP="00000000" w:rsidRDefault="00000000" w:rsidRPr="00000000" w14:paraId="00000074">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Violation</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90</w:t>
            </w:r>
            <w:r w:rsidDel="00000000" w:rsidR="00000000" w:rsidRPr="00000000">
              <w:rPr>
                <w:rFonts w:ascii="Arial" w:cs="Arial" w:eastAsia="Arial" w:hAnsi="Arial"/>
                <w:b w:val="1"/>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Percentile</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Number of Samples Exceeds AL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ALG</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Sample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Likely Source of Contamination</w:t>
            </w:r>
            <w:r w:rsidDel="00000000" w:rsidR="00000000" w:rsidRPr="00000000">
              <w:rPr>
                <w:rtl w:val="0"/>
              </w:rPr>
            </w:r>
          </w:p>
        </w:tc>
      </w:tr>
      <w:tr>
        <w:trPr>
          <w:cantSplit w:val="0"/>
          <w:trHeight w:val="33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Copper (ppm)</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0.035</w:t>
            </w:r>
          </w:p>
        </w:tc>
        <w:tc>
          <w:tcPr>
            <w:tcBorders>
              <w:top w:color="000000" w:space="0" w:sz="4" w:val="single"/>
              <w:bottom w:color="000000" w:space="0" w:sz="4" w:val="single"/>
            </w:tcBorders>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p>
        </w:tc>
        <w:tc>
          <w:tcPr>
            <w:tcBorders>
              <w:top w:color="000000" w:space="0" w:sz="4" w:val="single"/>
              <w:bottom w:color="000000" w:space="0" w:sz="4" w:val="single"/>
            </w:tcBorders>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w:t>
            </w:r>
          </w:p>
        </w:tc>
        <w:tc>
          <w:tcPr>
            <w:tcBorders>
              <w:top w:color="000000" w:space="0" w:sz="4" w:val="single"/>
              <w:bottom w:color="000000" w:space="0" w:sz="4" w:val="single"/>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w:t>
            </w:r>
          </w:p>
        </w:tc>
        <w:tc>
          <w:tcPr>
            <w:tcBorders>
              <w:top w:color="000000" w:space="0" w:sz="4" w:val="single"/>
              <w:bottom w:color="000000" w:space="0" w:sz="4" w:val="single"/>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2021</w:t>
            </w:r>
          </w:p>
        </w:tc>
        <w:tc>
          <w:tcPr>
            <w:tcBorders>
              <w:top w:color="000000" w:space="0" w:sz="4" w:val="single"/>
              <w:bottom w:color="000000" w:space="0" w:sz="4" w:val="single"/>
            </w:tcBorders>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Corrosion of household plumbing systems; erosion of natural deposits</w:t>
            </w:r>
          </w:p>
        </w:tc>
      </w:tr>
      <w:tr>
        <w:trPr>
          <w:cantSplit w:val="0"/>
          <w:trHeight w:val="287" w:hRule="atLeast"/>
          <w:tblHeader w:val="0"/>
        </w:trPr>
        <w:tc>
          <w:tcPr>
            <w:tcBorders>
              <w:bottom w:color="000000" w:space="0" w:sz="4" w:val="single"/>
            </w:tcBorders>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Lead (ppb)</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tcBorders>
              <w:bottom w:color="000000" w:space="0" w:sz="4" w:val="single"/>
            </w:tcBorders>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.000</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p>
        </w:tc>
        <w:tc>
          <w:tcPr>
            <w:tcBorders>
              <w:bottom w:color="000000" w:space="0" w:sz="4" w:val="single"/>
            </w:tcBorders>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15</w:t>
            </w:r>
          </w:p>
        </w:tc>
        <w:tc>
          <w:tcPr>
            <w:tcBorders>
              <w:bottom w:color="000000" w:space="0" w:sz="4" w:val="single"/>
            </w:tcBorders>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2021</w:t>
            </w:r>
          </w:p>
        </w:tc>
        <w:tc>
          <w:tcPr>
            <w:tcBorders>
              <w:bottom w:color="000000" w:space="0" w:sz="4" w:val="single"/>
            </w:tcBorders>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Corrosion of household plumbing systems; erosion of natural deposits</w:t>
            </w:r>
          </w:p>
        </w:tc>
      </w:tr>
      <w:tr>
        <w:trPr>
          <w:cantSplit w:val="0"/>
          <w:trHeight w:val="162"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Inorganic Chemicals </w:t>
              <w:br w:type="textWrapping"/>
              <w:t xml:space="preserve">(IOC)</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D">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w:t>
            </w:r>
            <w:r w:rsidDel="00000000" w:rsidR="00000000" w:rsidRPr="00000000">
              <w:rPr>
                <w:rtl w:val="0"/>
              </w:rPr>
            </w:r>
          </w:p>
          <w:p w:rsidR="00000000" w:rsidDel="00000000" w:rsidP="00000000" w:rsidRDefault="00000000" w:rsidRPr="00000000" w14:paraId="0000008E">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Violation</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Running Annual Average (RAA)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OR</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Highest Level Detected</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Range of All Samples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(Low-High)</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MCL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MCLG</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Sample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Likely Source of Contamination</w:t>
            </w:r>
            <w:r w:rsidDel="00000000" w:rsidR="00000000" w:rsidRPr="00000000">
              <w:rPr>
                <w:rtl w:val="0"/>
              </w:rPr>
            </w:r>
          </w:p>
        </w:tc>
      </w:tr>
      <w:tr>
        <w:trPr>
          <w:cantSplit w:val="0"/>
          <w:trHeight w:val="323" w:hRule="atLeast"/>
          <w:tblHeader w:val="0"/>
        </w:trPr>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Arsenic</w:t>
            </w:r>
            <w:r w:rsidDel="00000000" w:rsidR="00000000" w:rsidRPr="00000000">
              <w:rPr>
                <w:rFonts w:ascii="Arial" w:cs="Arial" w:eastAsia="Arial" w:hAnsi="Arial"/>
                <w:b w:val="1"/>
                <w:i w:val="0"/>
                <w:smallCaps w:val="0"/>
                <w:strike w:val="0"/>
                <w:color w:val="00000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(ppb)</w:t>
            </w:r>
            <w:r w:rsidDel="00000000" w:rsidR="00000000" w:rsidRPr="00000000">
              <w:rPr>
                <w:rtl w:val="0"/>
              </w:rPr>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3.4</w:t>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3.4-3.4</w:t>
            </w:r>
          </w:p>
        </w:tc>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2021</w:t>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Erosion of natural deposits, runoff from orchards, runoff from glass and electronics production wastes</w:t>
            </w:r>
          </w:p>
        </w:tc>
      </w:tr>
      <w:tr>
        <w:trPr>
          <w:cantSplit w:val="0"/>
          <w:tblHeader w:val="0"/>
        </w:trPr>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Barium (ppm)</w:t>
            </w:r>
            <w:r w:rsidDel="00000000" w:rsidR="00000000" w:rsidRPr="00000000">
              <w:rPr>
                <w:rtl w:val="0"/>
              </w:rPr>
            </w:r>
          </w:p>
        </w:tc>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0.062</w:t>
            </w:r>
          </w:p>
        </w:tc>
        <w:tc>
          <w:tcP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0.062</w:t>
            </w:r>
          </w:p>
        </w:tc>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p>
        </w:tc>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2021</w:t>
            </w:r>
          </w:p>
        </w:tc>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Discharge of drilling wastes; discharge from metal refineries; Erosion of natural deposits</w:t>
            </w:r>
          </w:p>
        </w:tc>
      </w:tr>
      <w:tr>
        <w:trPr>
          <w:cantSplit w:val="0"/>
          <w:trHeight w:val="50" w:hRule="atLeast"/>
          <w:tblHeader w:val="0"/>
        </w:trPr>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Fluoride (ppm)</w:t>
            </w:r>
            <w:r w:rsidDel="00000000" w:rsidR="00000000" w:rsidRPr="00000000">
              <w:rPr>
                <w:rtl w:val="0"/>
              </w:rPr>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0.35</w:t>
            </w:r>
          </w:p>
        </w:tc>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0.35-0.35</w:t>
            </w:r>
          </w:p>
        </w:tc>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p>
        </w:tc>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2021</w:t>
            </w:r>
          </w:p>
        </w:tc>
        <w:tc>
          <w:tcPr>
            <w:vAlign w:val="center"/>
          </w:tcPr>
          <w:p w:rsidR="00000000" w:rsidDel="00000000" w:rsidP="00000000" w:rsidRDefault="00000000" w:rsidRPr="00000000" w14:paraId="000000AF">
            <w:pPr>
              <w:rPr>
                <w:rFonts w:ascii="Arial" w:cs="Arial" w:eastAsia="Arial" w:hAnsi="Arial"/>
                <w:color w:val="222222"/>
                <w:sz w:val="14"/>
                <w:szCs w:val="14"/>
                <w:vertAlign w:val="baseline"/>
              </w:rPr>
            </w:pPr>
            <w:r w:rsidDel="00000000" w:rsidR="00000000" w:rsidRPr="00000000">
              <w:rPr>
                <w:rFonts w:ascii="Arial" w:cs="Arial" w:eastAsia="Arial" w:hAnsi="Arial"/>
                <w:sz w:val="14"/>
                <w:szCs w:val="14"/>
                <w:vertAlign w:val="baseline"/>
                <w:rtl w:val="0"/>
              </w:rPr>
              <w:t xml:space="preserve">Erosion of natural deposits; water additive which promotes strong teeth; discharge from fertilizer and aluminum factories</w:t>
            </w: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Nitrate</w:t>
            </w:r>
            <w:r w:rsidDel="00000000" w:rsidR="00000000" w:rsidRPr="00000000">
              <w:rPr>
                <w:rFonts w:ascii="Arial" w:cs="Arial" w:eastAsia="Arial" w:hAnsi="Arial"/>
                <w:b w:val="1"/>
                <w:i w:val="0"/>
                <w:smallCaps w:val="0"/>
                <w:strike w:val="0"/>
                <w:color w:val="000000"/>
                <w:sz w:val="16"/>
                <w:szCs w:val="16"/>
                <w:u w:val="none"/>
                <w:shd w:fill="auto" w:val="clear"/>
                <w:vertAlign w:val="superscript"/>
                <w:rtl w:val="0"/>
              </w:rPr>
              <w:t xml:space="preserve">2</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(ppm)</w:t>
            </w:r>
            <w:r w:rsidDel="00000000" w:rsidR="00000000" w:rsidRPr="00000000">
              <w:rPr>
                <w:rtl w:val="0"/>
              </w:rPr>
            </w:r>
          </w:p>
        </w:tc>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w:t>
            </w:r>
          </w:p>
        </w:tc>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1.1-1.1</w:t>
            </w:r>
          </w:p>
        </w:tc>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2021</w:t>
            </w:r>
          </w:p>
        </w:tc>
        <w:tc>
          <w:tcPr>
            <w:vAlign w:val="center"/>
          </w:tcPr>
          <w:p w:rsidR="00000000" w:rsidDel="00000000" w:rsidP="00000000" w:rsidRDefault="00000000" w:rsidRPr="00000000" w14:paraId="000000B7">
            <w:pP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Runoff from fertilizer use; leaching from septic tanks, sewage; erosion of natural deposits</w:t>
            </w:r>
          </w:p>
        </w:tc>
      </w:tr>
      <w:tr>
        <w:trPr>
          <w:cantSplit w:val="0"/>
          <w:trHeight w:val="98" w:hRule="atLeast"/>
          <w:tblHeader w:val="0"/>
        </w:trPr>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Sodium (ppm)</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sz w:val="16"/>
                <w:szCs w:val="16"/>
                <w:rtl w:val="0"/>
              </w:rPr>
              <w:t xml:space="preserve">1</w:t>
            </w:r>
            <w:r w:rsidDel="00000000" w:rsidR="00000000" w:rsidRPr="00000000">
              <w:rPr>
                <w:rtl w:val="0"/>
              </w:rPr>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sz w:val="16"/>
                <w:szCs w:val="16"/>
                <w:rtl w:val="0"/>
              </w:rPr>
              <w:t xml:space="preserve">1-31</w:t>
            </w:r>
            <w:r w:rsidDel="00000000" w:rsidR="00000000" w:rsidRPr="00000000">
              <w:rPr>
                <w:rtl w:val="0"/>
              </w:rPr>
            </w:r>
          </w:p>
        </w:tc>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w:t>
            </w:r>
          </w:p>
        </w:tc>
        <w:tc>
          <w:tcP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w:t>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06/2018</w:t>
            </w:r>
          </w:p>
        </w:tc>
        <w:tc>
          <w:tcPr>
            <w:vAlign w:val="center"/>
          </w:tcPr>
          <w:p w:rsidR="00000000" w:rsidDel="00000000" w:rsidP="00000000" w:rsidRDefault="00000000" w:rsidRPr="00000000" w14:paraId="000000BF">
            <w:pP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Erosion of natural deposits</w:t>
            </w:r>
          </w:p>
        </w:tc>
      </w:tr>
      <w:tr>
        <w:trPr>
          <w:cantSplit w:val="0"/>
          <w:trHeight w:val="890" w:hRule="atLeast"/>
          <w:tblHeader w:val="0"/>
        </w:trPr>
        <w:tc>
          <w:tcPr>
            <w:gridSpan w:val="8"/>
            <w:tcBorders>
              <w:top w:color="000000" w:space="0" w:sz="4" w:val="single"/>
              <w:bottom w:color="000000" w:space="0" w:sz="4" w:val="single"/>
            </w:tcBorders>
            <w:vAlign w:val="center"/>
          </w:tcPr>
          <w:p w:rsidR="00000000" w:rsidDel="00000000" w:rsidP="00000000" w:rsidRDefault="00000000" w:rsidRPr="00000000" w14:paraId="000000C0">
            <w:pPr>
              <w:rPr>
                <w:rFonts w:ascii="Arial" w:cs="Arial" w:eastAsia="Arial" w:hAnsi="Arial"/>
                <w:sz w:val="16"/>
                <w:szCs w:val="16"/>
                <w:vertAlign w:val="baseline"/>
              </w:rPr>
            </w:pPr>
            <w:r w:rsidDel="00000000" w:rsidR="00000000" w:rsidRPr="00000000">
              <w:rPr>
                <w:rFonts w:ascii="Arial" w:cs="Arial" w:eastAsia="Arial" w:hAnsi="Arial"/>
                <w:b w:val="1"/>
                <w:sz w:val="22"/>
                <w:szCs w:val="22"/>
                <w:vertAlign w:val="superscript"/>
                <w:rtl w:val="0"/>
              </w:rPr>
              <w:t xml:space="preserve">1</w:t>
            </w:r>
            <w:r w:rsidDel="00000000" w:rsidR="00000000" w:rsidRPr="00000000">
              <w:rPr>
                <w:rFonts w:ascii="Arial" w:cs="Arial" w:eastAsia="Arial" w:hAnsi="Arial"/>
                <w:b w:val="1"/>
                <w:sz w:val="16"/>
                <w:szCs w:val="16"/>
                <w:vertAlign w:val="baseline"/>
                <w:rtl w:val="0"/>
              </w:rPr>
              <w:t xml:space="preserve"> Arsenic</w:t>
            </w:r>
            <w:r w:rsidDel="00000000" w:rsidR="00000000" w:rsidRPr="00000000">
              <w:rPr>
                <w:rFonts w:ascii="Arial" w:cs="Arial" w:eastAsia="Arial" w:hAnsi="Arial"/>
                <w:sz w:val="16"/>
                <w:szCs w:val="16"/>
                <w:vertAlign w:val="baseline"/>
                <w:rtl w:val="0"/>
              </w:rPr>
              <w:t xml:space="preserve"> is a mineral known to cause cancer in humans at high concentration and is linked to other health effects, such as skin damage and circulatory problems. If arsenic is less than or equal to the MCL, your drinking water meets EPA’s standards. EPA’s standard balances the current understanding of arsenic’s possible health effects against the costs of removing arsenic from drinking water, and continues to research the health effects of low levels of arsenic.</w:t>
            </w:r>
          </w:p>
          <w:p w:rsidR="00000000" w:rsidDel="00000000" w:rsidP="00000000" w:rsidRDefault="00000000" w:rsidRPr="00000000" w14:paraId="000000C1">
            <w:pPr>
              <w:rPr>
                <w:rFonts w:ascii="Arial" w:cs="Arial" w:eastAsia="Arial" w:hAnsi="Arial"/>
                <w:b w:val="0"/>
                <w:sz w:val="16"/>
                <w:szCs w:val="16"/>
                <w:vertAlign w:val="baseline"/>
              </w:rPr>
            </w:pPr>
            <w:r w:rsidDel="00000000" w:rsidR="00000000" w:rsidRPr="00000000">
              <w:rPr>
                <w:rFonts w:ascii="Arial" w:cs="Arial" w:eastAsia="Arial" w:hAnsi="Arial"/>
                <w:b w:val="1"/>
                <w:sz w:val="20"/>
                <w:szCs w:val="20"/>
                <w:vertAlign w:val="superscript"/>
                <w:rtl w:val="0"/>
              </w:rPr>
              <w:t xml:space="preserve">2</w:t>
            </w:r>
            <w:r w:rsidDel="00000000" w:rsidR="00000000" w:rsidRPr="00000000">
              <w:rPr>
                <w:rFonts w:ascii="Arial" w:cs="Arial" w:eastAsia="Arial" w:hAnsi="Arial"/>
                <w:b w:val="1"/>
                <w:sz w:val="16"/>
                <w:szCs w:val="16"/>
                <w:vertAlign w:val="baseline"/>
                <w:rtl w:val="0"/>
              </w:rPr>
              <w:t xml:space="preserve"> Nitrate</w:t>
            </w:r>
            <w:r w:rsidDel="00000000" w:rsidR="00000000" w:rsidRPr="00000000">
              <w:rPr>
                <w:rFonts w:ascii="Arial" w:cs="Arial" w:eastAsia="Arial" w:hAnsi="Arial"/>
                <w:sz w:val="16"/>
                <w:szCs w:val="16"/>
                <w:vertAlign w:val="baseline"/>
                <w:rtl w:val="0"/>
              </w:rPr>
              <w:t xml:space="preserv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and detected nitrate levels are above 5 ppm, you should ask advice from your health care provider.</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tc>
      </w:tr>
    </w:tbl>
    <w:p w:rsidR="00000000" w:rsidDel="00000000" w:rsidP="00000000" w:rsidRDefault="00000000" w:rsidRPr="00000000" w14:paraId="000000C9">
      <w:pPr>
        <w:tabs>
          <w:tab w:val="left" w:pos="1875"/>
        </w:tabs>
        <w:spacing w:before="12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A">
      <w:pPr>
        <w:spacing w:before="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Violation Summary (for MCL, MRDL, AL, TT, or Monitoring &amp; Reporting Requirement) </w:t>
      </w:r>
      <w:r w:rsidDel="00000000" w:rsidR="00000000" w:rsidRPr="00000000">
        <w:rPr>
          <w:rtl w:val="0"/>
        </w:rPr>
      </w:r>
    </w:p>
    <w:tbl>
      <w:tblPr>
        <w:tblStyle w:val="Table10"/>
        <w:tblW w:w="1108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83"/>
        <w:gridCol w:w="3147"/>
        <w:gridCol w:w="2383"/>
        <w:gridCol w:w="2575"/>
        <w:tblGridChange w:id="0">
          <w:tblGrid>
            <w:gridCol w:w="2983"/>
            <w:gridCol w:w="3147"/>
            <w:gridCol w:w="2383"/>
            <w:gridCol w:w="2575"/>
          </w:tblGrid>
        </w:tblGridChange>
      </w:tblGrid>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Violation Type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Explanation, Health Effects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Corrective Actions </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color w:val="222222"/>
                <w:sz w:val="18"/>
                <w:szCs w:val="18"/>
                <w:highlight w:val="white"/>
                <w:rtl w:val="0"/>
              </w:rPr>
              <w:t xml:space="preserve">Late reporting violation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16"/>
                <w:szCs w:val="16"/>
                <w:u w:val="none"/>
                <w:shd w:fill="auto" w:val="clear"/>
                <w:vertAlign w:val="baseline"/>
              </w:rPr>
            </w:pPr>
            <w:r w:rsidDel="00000000" w:rsidR="00000000" w:rsidRPr="00000000">
              <w:rPr>
                <w:rFonts w:ascii="Calibri" w:cs="Calibri" w:eastAsia="Calibri" w:hAnsi="Calibri"/>
                <w:color w:val="222222"/>
                <w:sz w:val="18"/>
                <w:szCs w:val="18"/>
                <w:highlight w:val="white"/>
                <w:rtl w:val="0"/>
              </w:rPr>
              <w:t xml:space="preserve">Consumer Confidence Reports (CCR) and the appropriate Mailing Certificate are due annually. CCR are annual reports that include water quality data, health impact language, violations accrued, etc. Mailing Certificates ensure that report was delivered appropriately.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10-02-2021 to 10-07-2021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2"/>
                <w:sz w:val="20"/>
                <w:szCs w:val="20"/>
                <w:u w:val="none"/>
                <w:shd w:fill="auto" w:val="clear"/>
                <w:vertAlign w:val="baseline"/>
              </w:rPr>
            </w:pPr>
            <w:r w:rsidDel="00000000" w:rsidR="00000000" w:rsidRPr="00000000">
              <w:rPr>
                <w:rFonts w:ascii="Arial" w:cs="Arial" w:eastAsia="Arial" w:hAnsi="Arial"/>
                <w:color w:val="222222"/>
                <w:sz w:val="20"/>
                <w:szCs w:val="20"/>
                <w:rtl w:val="0"/>
              </w:rPr>
              <w:t xml:space="preserve">Mailing waiver was filed late.</w:t>
            </w:r>
            <w:r w:rsidDel="00000000" w:rsidR="00000000" w:rsidRPr="00000000">
              <w:rPr>
                <w:rtl w:val="0"/>
              </w:rPr>
            </w:r>
          </w:p>
        </w:tc>
      </w:tr>
      <w:tr>
        <w:trPr>
          <w:cantSplit w:val="0"/>
          <w:trHeight w:val="593"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share this information with other people who drink this water, especially those who may not have received this notice directly (for example, people in apartments, nursing homes, schools, and businesses). You can do this by posting this notice in a public place or distributing copies by hand or mail.</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footerReference r:id="rId10" w:type="default"/>
      <w:footerReference r:id="rId11"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ADEQ Consumer Confidence Report - Template Revised April 2021     </w:t>
      <w:tab/>
      <w:tab/>
      <w:t xml:space="preserve">         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next w:val="BodyText2"/>
    <w:autoRedefine w:val="0"/>
    <w:hidden w:val="0"/>
    <w:qFormat w:val="0"/>
    <w:pPr>
      <w:widowControl w:val="0"/>
      <w:tabs>
        <w:tab w:val="left" w:leader="none" w:pos="-90"/>
        <w:tab w:val="left" w:leader="none" w:pos="630"/>
        <w:tab w:val="left" w:leader="none" w:pos="1350"/>
        <w:tab w:val="left" w:leader="none" w:pos="2070"/>
        <w:tab w:val="left" w:leader="none" w:pos="2790"/>
        <w:tab w:val="left" w:leader="none" w:pos="3510"/>
        <w:tab w:val="left" w:leader="none" w:pos="4230"/>
        <w:tab w:val="left" w:leader="none" w:pos="4950"/>
        <w:tab w:val="left" w:leader="none" w:pos="5670"/>
        <w:tab w:val="left" w:leader="none" w:pos="6390"/>
        <w:tab w:val="left" w:leader="none" w:pos="7110"/>
        <w:tab w:val="left" w:leader="none" w:pos="7830"/>
        <w:tab w:val="left" w:leader="none" w:pos="8550"/>
        <w:tab w:val="left" w:leader="none" w:pos="9270"/>
      </w:tabs>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autoRedefine w:val="0"/>
    <w:hidden w:val="0"/>
    <w:qFormat w:val="0"/>
    <w:pPr>
      <w:suppressAutoHyphens w:val="1"/>
      <w:spacing w:after="60" w:line="1" w:lineRule="atLeast"/>
      <w:ind w:leftChars="-1" w:rightChars="0" w:firstLineChars="-1"/>
      <w:jc w:val="center"/>
      <w:textDirection w:val="btLr"/>
      <w:textAlignment w:val="top"/>
      <w:outlineLvl w:val="1"/>
    </w:pPr>
    <w:rPr>
      <w:rFonts w:ascii="Calibri Light" w:cs="Times New Roman" w:eastAsia="Times New Roman" w:hAnsi="Calibri Light"/>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libri Light" w:cs="Times New Roman" w:eastAsia="Times New Roman" w:hAnsi="Calibri Light"/>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EndnoteTextChar">
    <w:name w:val="Endnote Text Char"/>
    <w:basedOn w:val="DefaultParagraphFont"/>
    <w:next w:val="EndnoteTextChar"/>
    <w:autoRedefine w:val="0"/>
    <w:hidden w:val="0"/>
    <w:qFormat w:val="0"/>
    <w:rPr>
      <w:w w:val="100"/>
      <w:position w:val="-1"/>
      <w:effect w:val="none"/>
      <w:vertAlign w:val="baseline"/>
      <w:cs w:val="0"/>
      <w:em w:val="none"/>
      <w:lang/>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spacing w:after="60" w:lineRule="auto"/>
      <w:jc w:val="center"/>
    </w:pPr>
    <w:rPr>
      <w:rFonts w:ascii="Calibri" w:cs="Calibri" w:eastAsia="Calibri" w:hAnsi="Calibri"/>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www.epa.gov/safewater/le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89Q4JI06gseSxjbQYwNmTuut2g==">AMUW2mUqZE3NM6kUnACl2/9nJSgKMvggYdnv5IEFCpu0yOmgK7frJtzMomzp2LDv5SL5RtFYt6aQnQWJeJR5ohEO7SveHXfdzTUoM92FU9+iMq0QTnCxk0o=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2022-06-28T20:07:00Z</dcterms:created>
  <dc:creator>ADEQ</dc:creator>
</cp:coreProperties>
</file>

<file path=docProps/custom.xml><?xml version="1.0" encoding="utf-8"?>
<Properties xmlns="http://schemas.openxmlformats.org/officeDocument/2006/custom-properties" xmlns:vt="http://schemas.openxmlformats.org/officeDocument/2006/docPropsVTypes"/>
</file>